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4 072руб.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3 054руб.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2 036руб.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1 527руб.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2 036руб.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113914руб.</w:t>
            </w:r>
          </w:p>
        </w:tc>
        <w:tc>
          <w:p>
            <w:r>
              <w:t xml:space="preserve">145574руб.</w:t>
            </w:r>
          </w:p>
        </w:tc>
        <w:tc>
          <w:p>
            <w:r>
              <w:t xml:space="preserve">107806руб.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2024-05-16T13:12:57+00:00</dcterms:created>
  <dcterms:modified xsi:type="dcterms:W3CDTF">2024-05-16T13:12:57+00:00</dcterms:modified>
</cp:coreProperties>
</file>